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72D" w:rsidRPr="00B55935" w:rsidRDefault="0092372D" w:rsidP="0092372D">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#89</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R4-181</w:t>
      </w:r>
      <w:r w:rsidR="001C090E">
        <w:rPr>
          <w:rFonts w:ascii="Calibri" w:eastAsia="新細明體" w:hAnsi="Calibri" w:cs="Arial"/>
          <w:noProof w:val="0"/>
          <w:sz w:val="24"/>
          <w:szCs w:val="24"/>
          <w:lang w:eastAsia="ja-JP"/>
        </w:rPr>
        <w:t>4900</w:t>
      </w:r>
    </w:p>
    <w:p w:rsidR="0092372D" w:rsidRPr="001800D2" w:rsidRDefault="0092372D" w:rsidP="0092372D">
      <w:pPr>
        <w:tabs>
          <w:tab w:val="left" w:pos="1985"/>
        </w:tabs>
        <w:jc w:val="both"/>
        <w:rPr>
          <w:rFonts w:ascii="Calibri" w:eastAsia="新細明體" w:hAnsi="Calibri" w:cs="Arial"/>
          <w:b/>
          <w:sz w:val="24"/>
          <w:szCs w:val="24"/>
          <w:lang w:eastAsia="ja-JP"/>
        </w:rPr>
      </w:pPr>
      <w:r>
        <w:rPr>
          <w:rFonts w:ascii="Calibri" w:eastAsia="新細明體" w:hAnsi="Calibri" w:cs="Arial"/>
          <w:b/>
          <w:sz w:val="24"/>
          <w:szCs w:val="24"/>
          <w:lang w:eastAsia="ja-JP"/>
        </w:rPr>
        <w:t>Spokane</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WA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US, November</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16</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rsidR="005E232D" w:rsidRPr="000E5DD8"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460C5C" w:rsidRPr="001C090E">
        <w:rPr>
          <w:rFonts w:cs="Arial"/>
          <w:bCs/>
          <w:sz w:val="24"/>
        </w:rPr>
        <w:t>7.11.7.5</w:t>
      </w:r>
      <w:r w:rsidR="001C090E" w:rsidRPr="001C090E">
        <w:rPr>
          <w:rFonts w:cs="Arial"/>
          <w:bCs/>
          <w:sz w:val="24"/>
        </w:rPr>
        <w:t>.1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1C090E">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217505" w:rsidRDefault="009B73F5" w:rsidP="00217505">
      <w:pPr>
        <w:rPr>
          <w:lang w:eastAsia="zh-TW"/>
        </w:rPr>
      </w:pPr>
      <w:bookmarkStart w:id="2" w:name="OLE_LINK1"/>
      <w:bookmarkStart w:id="3" w:name="OLE_LINK2"/>
      <w:bookmarkStart w:id="4" w:name="OLE_LINK132"/>
      <w:bookmarkStart w:id="5" w:name="OLE_LINK133"/>
      <w:r>
        <w:rPr>
          <w:lang w:eastAsia="zh-TW"/>
        </w:rPr>
        <w:t>In this paper, we discuss the remaining issues</w:t>
      </w:r>
      <w:r w:rsidR="00F30702">
        <w:rPr>
          <w:lang w:eastAsia="zh-TW"/>
        </w:rPr>
        <w:t xml:space="preserve"> for both BW</w:t>
      </w:r>
      <w:r w:rsidR="002A7216">
        <w:rPr>
          <w:lang w:eastAsia="zh-TW"/>
        </w:rPr>
        <w:t>P switch delay, including</w:t>
      </w:r>
    </w:p>
    <w:p w:rsidR="002A7216" w:rsidRPr="002A7216" w:rsidRDefault="002A7216" w:rsidP="002A7216">
      <w:pPr>
        <w:pStyle w:val="a9"/>
        <w:numPr>
          <w:ilvl w:val="0"/>
          <w:numId w:val="22"/>
        </w:numPr>
        <w:rPr>
          <w:lang w:eastAsia="zh-TW"/>
        </w:rPr>
      </w:pPr>
      <w:r w:rsidRPr="002A7216">
        <w:rPr>
          <w:lang w:eastAsia="zh-TW"/>
        </w:rPr>
        <w:t>RRC-based BWP switch requirement</w:t>
      </w:r>
    </w:p>
    <w:p w:rsidR="002A7216" w:rsidRPr="002A7216" w:rsidRDefault="002A7216" w:rsidP="002A7216">
      <w:pPr>
        <w:pStyle w:val="a9"/>
        <w:numPr>
          <w:ilvl w:val="0"/>
          <w:numId w:val="22"/>
        </w:numPr>
        <w:rPr>
          <w:lang w:eastAsia="zh-TW"/>
        </w:rPr>
      </w:pPr>
      <w:r w:rsidRPr="002A7216">
        <w:rPr>
          <w:lang w:eastAsia="zh-TW"/>
        </w:rPr>
        <w:t>How to consider TA in UL BWP switching delay</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975CBD" w:rsidRPr="002A7216" w:rsidRDefault="002A7216" w:rsidP="00ED6BF8">
      <w:pPr>
        <w:jc w:val="both"/>
        <w:rPr>
          <w:rFonts w:eastAsia="SimSun" w:cs="Times New Roman"/>
          <w:b/>
          <w:u w:val="single"/>
          <w:lang w:eastAsia="x-none"/>
        </w:rPr>
      </w:pPr>
      <w:r w:rsidRPr="002A7216">
        <w:rPr>
          <w:b/>
          <w:u w:val="single"/>
          <w:lang w:eastAsia="zh-TW"/>
        </w:rPr>
        <w:t>RRC-based BWP switch requirement</w:t>
      </w:r>
    </w:p>
    <w:p w:rsidR="00D60E64" w:rsidRDefault="002B62A3" w:rsidP="00ED6BF8">
      <w:pPr>
        <w:jc w:val="both"/>
        <w:rPr>
          <w:rFonts w:eastAsia="SimSun" w:cs="Times New Roman"/>
          <w:lang w:eastAsia="x-none"/>
        </w:rPr>
      </w:pPr>
      <w:r>
        <w:rPr>
          <w:rFonts w:eastAsia="SimSun" w:cs="Times New Roman"/>
          <w:lang w:eastAsia="x-none"/>
        </w:rPr>
        <w:t>According to the progress of last RAN2 meeting, there was still no conclusion on RRC processing delay. Therefore, it is still open whether additional delay is needed for RRC processing with BWP switch over RRC processing without BWP switch. Due to lack of RAN2 conclusion, we suggest RAN4 to keep postponing the discussion of the requirement for RRC-based BWP switch to RAN4#90 meeting.</w:t>
      </w:r>
    </w:p>
    <w:p w:rsidR="002B62A3" w:rsidRPr="002B62A3" w:rsidRDefault="002B62A3" w:rsidP="00B51F24">
      <w:pPr>
        <w:pStyle w:val="a5"/>
        <w:jc w:val="both"/>
        <w:rPr>
          <w:lang w:val="en-US"/>
        </w:rPr>
      </w:pPr>
      <w:bookmarkStart w:id="6" w:name="_Ref528414877"/>
      <w:r>
        <w:t xml:space="preserve">Proposal </w:t>
      </w:r>
      <w:r w:rsidR="001512F6">
        <w:fldChar w:fldCharType="begin"/>
      </w:r>
      <w:r w:rsidR="001512F6">
        <w:instrText xml:space="preserve"> SEQ Proposal \* ARABIC </w:instrText>
      </w:r>
      <w:r w:rsidR="001512F6">
        <w:fldChar w:fldCharType="separate"/>
      </w:r>
      <w:r w:rsidR="00B51F24">
        <w:rPr>
          <w:noProof/>
        </w:rPr>
        <w:t>1</w:t>
      </w:r>
      <w:r w:rsidR="001512F6">
        <w:rPr>
          <w:noProof/>
        </w:rPr>
        <w:fldChar w:fldCharType="end"/>
      </w:r>
      <w:r>
        <w:rPr>
          <w:lang w:val="en-US"/>
        </w:rPr>
        <w:t xml:space="preserve">: The discussion of requirement for </w:t>
      </w:r>
      <w:r>
        <w:t xml:space="preserve">RRC-based BWP switch </w:t>
      </w:r>
      <w:r>
        <w:rPr>
          <w:lang w:val="en-US"/>
        </w:rPr>
        <w:t xml:space="preserve">is postponed </w:t>
      </w:r>
      <w:r>
        <w:t>to RAN4#90 meeting</w:t>
      </w:r>
      <w:r>
        <w:rPr>
          <w:lang w:val="en-US"/>
        </w:rPr>
        <w:t>.</w:t>
      </w:r>
      <w:bookmarkEnd w:id="6"/>
    </w:p>
    <w:p w:rsidR="002B62A3" w:rsidRDefault="002B62A3" w:rsidP="00ED6BF8">
      <w:pPr>
        <w:jc w:val="both"/>
        <w:rPr>
          <w:rFonts w:eastAsia="SimSun" w:cs="Times New Roman"/>
          <w:lang w:eastAsia="x-none"/>
        </w:rPr>
      </w:pPr>
    </w:p>
    <w:p w:rsidR="002A7216" w:rsidRPr="002A7216" w:rsidRDefault="002A7216" w:rsidP="002A7216">
      <w:pPr>
        <w:jc w:val="both"/>
        <w:rPr>
          <w:rFonts w:eastAsia="SimSun" w:cs="Times New Roman"/>
          <w:b/>
          <w:u w:val="single"/>
          <w:lang w:eastAsia="x-none"/>
        </w:rPr>
      </w:pPr>
      <w:r w:rsidRPr="002A7216">
        <w:rPr>
          <w:b/>
          <w:u w:val="single"/>
          <w:lang w:eastAsia="zh-TW"/>
        </w:rPr>
        <w:t>How to consider TA in UL BWP switching delay</w:t>
      </w:r>
    </w:p>
    <w:p w:rsidR="002A7216" w:rsidRPr="00613426" w:rsidRDefault="002B62A3" w:rsidP="00ED6BF8">
      <w:pPr>
        <w:jc w:val="both"/>
        <w:rPr>
          <w:rFonts w:eastAsia="SimSun"/>
          <w:lang w:eastAsia="x-none"/>
        </w:rPr>
      </w:pPr>
      <w:r>
        <w:rPr>
          <w:rFonts w:eastAsia="SimSun" w:cs="Times New Roman"/>
          <w:lang w:eastAsia="x-none"/>
        </w:rPr>
        <w:t xml:space="preserve">In RAN4#88b meeting, one issue was raised </w:t>
      </w:r>
      <w:r w:rsidR="00613426">
        <w:rPr>
          <w:rFonts w:eastAsia="SimSun" w:cs="Times New Roman"/>
          <w:lang w:eastAsia="x-none"/>
        </w:rPr>
        <w:t xml:space="preserve">in [1] </w:t>
      </w:r>
      <w:r>
        <w:rPr>
          <w:rFonts w:eastAsia="SimSun" w:cs="Times New Roman"/>
          <w:lang w:eastAsia="x-none"/>
        </w:rPr>
        <w:t xml:space="preserve">about how to deal with TA in the DCI-based BWP switch delay requirement when switching an UL BWP. The issue can be illustrated in </w:t>
      </w:r>
      <w:r w:rsidR="00613426">
        <w:rPr>
          <w:rFonts w:eastAsia="SimSun" w:cs="Times New Roman"/>
          <w:lang w:eastAsia="x-none"/>
        </w:rPr>
        <w:fldChar w:fldCharType="begin"/>
      </w:r>
      <w:r w:rsidR="00613426">
        <w:rPr>
          <w:rFonts w:eastAsia="SimSun" w:cs="Times New Roman"/>
          <w:lang w:eastAsia="x-none"/>
        </w:rPr>
        <w:instrText xml:space="preserve"> REF _Ref528412564 \h </w:instrText>
      </w:r>
      <w:r w:rsidR="00613426">
        <w:rPr>
          <w:rFonts w:eastAsia="SimSun" w:cs="Times New Roman"/>
          <w:lang w:eastAsia="x-none"/>
        </w:rPr>
      </w:r>
      <w:r w:rsidR="00613426">
        <w:rPr>
          <w:rFonts w:eastAsia="SimSun" w:cs="Times New Roman"/>
          <w:lang w:eastAsia="x-none"/>
        </w:rPr>
        <w:fldChar w:fldCharType="separate"/>
      </w:r>
      <w:r w:rsidR="00613426">
        <w:t xml:space="preserve">Figure </w:t>
      </w:r>
      <w:r w:rsidR="00613426">
        <w:rPr>
          <w:noProof/>
        </w:rPr>
        <w:t>1</w:t>
      </w:r>
      <w:r w:rsidR="00613426">
        <w:rPr>
          <w:rFonts w:eastAsia="SimSun" w:cs="Times New Roman"/>
          <w:lang w:eastAsia="x-none"/>
        </w:rPr>
        <w:fldChar w:fldCharType="end"/>
      </w:r>
      <w:r w:rsidR="00613426">
        <w:rPr>
          <w:rFonts w:eastAsia="SimSun" w:cs="Times New Roman"/>
          <w:lang w:eastAsia="x-none"/>
        </w:rPr>
        <w:t xml:space="preserve">. After considering timing advance, the remaining time allowed for UE to switch it UL BWP is actually less than </w:t>
      </w:r>
      <w:r w:rsidR="00613426" w:rsidRPr="00613426">
        <w:rPr>
          <w:rFonts w:eastAsia="SimSun"/>
          <w:lang w:val="en-GB" w:eastAsia="x-none"/>
        </w:rPr>
        <w:t>T</w:t>
      </w:r>
      <w:r w:rsidR="00613426" w:rsidRPr="00613426">
        <w:rPr>
          <w:rFonts w:eastAsia="SimSun"/>
          <w:vertAlign w:val="subscript"/>
          <w:lang w:val="en-GB" w:eastAsia="x-none"/>
        </w:rPr>
        <w:t>BWPswitchDelay</w:t>
      </w:r>
      <w:r w:rsidR="00613426">
        <w:rPr>
          <w:rFonts w:eastAsia="SimSun" w:cs="Times New Roman"/>
          <w:lang w:eastAsia="x-none"/>
        </w:rPr>
        <w:t xml:space="preserve">. </w:t>
      </w:r>
    </w:p>
    <w:p w:rsidR="002A7216" w:rsidRDefault="002A7216" w:rsidP="00ED6BF8">
      <w:pPr>
        <w:jc w:val="both"/>
        <w:rPr>
          <w:rFonts w:eastAsia="SimSun" w:cs="Times New Roman"/>
          <w:lang w:eastAsia="x-none"/>
        </w:rPr>
      </w:pPr>
    </w:p>
    <w:p w:rsidR="002B62A3" w:rsidRDefault="002B62A3" w:rsidP="00613426">
      <w:pPr>
        <w:jc w:val="center"/>
        <w:rPr>
          <w:rFonts w:eastAsia="SimSun" w:cs="Times New Roman"/>
          <w:lang w:eastAsia="x-none"/>
        </w:rPr>
      </w:pPr>
      <w:r w:rsidRPr="002B62A3">
        <w:rPr>
          <w:noProof/>
          <w:lang w:eastAsia="zh-TW"/>
        </w:rPr>
        <w:drawing>
          <wp:inline distT="0" distB="0" distL="0" distR="0" wp14:anchorId="7E52DF0D" wp14:editId="4C440309">
            <wp:extent cx="5632680" cy="165608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4825" cy="1674351"/>
                    </a:xfrm>
                    <a:prstGeom prst="rect">
                      <a:avLst/>
                    </a:prstGeom>
                    <a:noFill/>
                    <a:ln>
                      <a:noFill/>
                    </a:ln>
                  </pic:spPr>
                </pic:pic>
              </a:graphicData>
            </a:graphic>
          </wp:inline>
        </w:drawing>
      </w:r>
    </w:p>
    <w:p w:rsidR="002B62A3" w:rsidRPr="002B62A3" w:rsidRDefault="002B62A3" w:rsidP="002B62A3">
      <w:pPr>
        <w:pStyle w:val="a5"/>
        <w:jc w:val="center"/>
        <w:rPr>
          <w:lang w:val="en-US"/>
        </w:rPr>
      </w:pPr>
      <w:bookmarkStart w:id="7" w:name="_Ref528412564"/>
      <w:r>
        <w:t xml:space="preserve">Figure </w:t>
      </w:r>
      <w:r w:rsidR="001512F6">
        <w:fldChar w:fldCharType="begin"/>
      </w:r>
      <w:r w:rsidR="001512F6">
        <w:instrText xml:space="preserve"> SEQ Figure \* ARABIC </w:instrText>
      </w:r>
      <w:r w:rsidR="001512F6">
        <w:fldChar w:fldCharType="separate"/>
      </w:r>
      <w:r>
        <w:rPr>
          <w:noProof/>
        </w:rPr>
        <w:t>1</w:t>
      </w:r>
      <w:r w:rsidR="001512F6">
        <w:rPr>
          <w:noProof/>
        </w:rPr>
        <w:fldChar w:fldCharType="end"/>
      </w:r>
      <w:bookmarkEnd w:id="7"/>
      <w:r>
        <w:rPr>
          <w:lang w:val="en-US"/>
        </w:rPr>
        <w:t>. DCI-based BWP switch Delay for DL BWP and UL BWP.</w:t>
      </w:r>
    </w:p>
    <w:p w:rsidR="002B62A3" w:rsidRDefault="002B62A3" w:rsidP="00ED6BF8">
      <w:pPr>
        <w:jc w:val="both"/>
        <w:rPr>
          <w:rFonts w:eastAsia="SimSun" w:cs="Times New Roman"/>
          <w:lang w:eastAsia="x-none"/>
        </w:rPr>
      </w:pPr>
    </w:p>
    <w:p w:rsidR="006C4A2D" w:rsidRDefault="00AD761A" w:rsidP="00ED6BF8">
      <w:pPr>
        <w:jc w:val="both"/>
        <w:rPr>
          <w:rFonts w:eastAsia="SimSun" w:cs="Times New Roman"/>
          <w:lang w:eastAsia="x-none"/>
        </w:rPr>
      </w:pPr>
      <w:r>
        <w:rPr>
          <w:rFonts w:eastAsia="SimSun" w:cs="Times New Roman"/>
          <w:lang w:eastAsia="x-none"/>
        </w:rPr>
        <w:t>In our opinion, this is a real issue, but it is not a BWP-specific issue. For DCI-based UL BWP switch, the DCI transmitted at slot n will also carry an UL grant which asks UE to transmit the UL signal in slot n</w:t>
      </w:r>
      <w:r w:rsidR="006C4A2D">
        <w:rPr>
          <w:rFonts w:eastAsia="SimSun" w:cs="Times New Roman"/>
          <w:lang w:eastAsia="x-none"/>
        </w:rPr>
        <w:t xml:space="preserve">’. The gap </w:t>
      </w:r>
      <w:r w:rsidR="006C4A2D">
        <w:rPr>
          <w:rFonts w:eastAsia="SimSun" w:cs="Times New Roman"/>
          <w:lang w:eastAsia="x-none"/>
        </w:rPr>
        <w:lastRenderedPageBreak/>
        <w:t xml:space="preserve">between slot n and slot n’ (or more specific the number of OFDM symbols between the DCI and PUSCH) is specified in Section 6.4 of TS38.214, as provided in the Appendix. </w:t>
      </w:r>
      <w:r w:rsidR="00B51F24">
        <w:rPr>
          <w:rFonts w:eastAsia="SimSun" w:cs="Times New Roman"/>
          <w:lang w:eastAsia="x-none"/>
        </w:rPr>
        <w:t>In other words, any UL grant provided through DCI should share the same issue that the TA reduces the UE processing time.</w:t>
      </w:r>
    </w:p>
    <w:p w:rsidR="00B51F24" w:rsidRPr="00B51F24" w:rsidRDefault="00B51F24" w:rsidP="00B51F24">
      <w:pPr>
        <w:pStyle w:val="a5"/>
        <w:jc w:val="both"/>
        <w:rPr>
          <w:lang w:val="en-US"/>
        </w:rPr>
      </w:pPr>
      <w:bookmarkStart w:id="8" w:name="_Ref528414886"/>
      <w:r>
        <w:t xml:space="preserve">Observation </w:t>
      </w:r>
      <w:r w:rsidR="001512F6">
        <w:fldChar w:fldCharType="begin"/>
      </w:r>
      <w:r w:rsidR="001512F6">
        <w:instrText xml:space="preserve"> SEQ Observation \* ARABIC </w:instrText>
      </w:r>
      <w:r w:rsidR="001512F6">
        <w:fldChar w:fldCharType="separate"/>
      </w:r>
      <w:r>
        <w:rPr>
          <w:noProof/>
        </w:rPr>
        <w:t>1</w:t>
      </w:r>
      <w:r w:rsidR="001512F6">
        <w:rPr>
          <w:noProof/>
        </w:rPr>
        <w:fldChar w:fldCharType="end"/>
      </w:r>
      <w:r>
        <w:rPr>
          <w:lang w:val="en-US"/>
        </w:rPr>
        <w:t>: All</w:t>
      </w:r>
      <w:r>
        <w:t xml:space="preserve"> UL grant</w:t>
      </w:r>
      <w:r>
        <w:rPr>
          <w:lang w:val="en-US"/>
        </w:rPr>
        <w:t>s</w:t>
      </w:r>
      <w:r>
        <w:t xml:space="preserve"> provided through DCI should </w:t>
      </w:r>
      <w:r>
        <w:rPr>
          <w:lang w:val="en-US"/>
        </w:rPr>
        <w:t>suffer</w:t>
      </w:r>
      <w:r>
        <w:t xml:space="preserve"> the </w:t>
      </w:r>
      <w:r w:rsidR="001179FA">
        <w:rPr>
          <w:lang w:val="en-US"/>
        </w:rPr>
        <w:t xml:space="preserve">same </w:t>
      </w:r>
      <w:r>
        <w:rPr>
          <w:lang w:val="en-US"/>
        </w:rPr>
        <w:t>problem</w:t>
      </w:r>
      <w:r>
        <w:t xml:space="preserve"> that the TA reduces the UE processing time</w:t>
      </w:r>
      <w:r>
        <w:rPr>
          <w:lang w:val="en-US"/>
        </w:rPr>
        <w:t>. The problem is not limited to UL BWP switch only.</w:t>
      </w:r>
      <w:bookmarkEnd w:id="8"/>
      <w:r>
        <w:rPr>
          <w:lang w:val="en-US"/>
        </w:rPr>
        <w:t xml:space="preserve"> </w:t>
      </w:r>
    </w:p>
    <w:p w:rsidR="00B51F24" w:rsidRDefault="00B51F24" w:rsidP="00ED6BF8">
      <w:pPr>
        <w:jc w:val="both"/>
        <w:rPr>
          <w:rFonts w:eastAsia="SimSun" w:cs="Times New Roman"/>
          <w:lang w:eastAsia="x-none"/>
        </w:rPr>
      </w:pPr>
    </w:p>
    <w:p w:rsidR="00AD761A" w:rsidRDefault="006C4A2D" w:rsidP="00ED6BF8">
      <w:pPr>
        <w:jc w:val="both"/>
        <w:rPr>
          <w:rFonts w:eastAsia="SimSun" w:cs="Times New Roman"/>
          <w:lang w:eastAsia="x-none"/>
        </w:rPr>
      </w:pPr>
      <w:r>
        <w:rPr>
          <w:rFonts w:eastAsia="SimSun" w:cs="Times New Roman"/>
          <w:lang w:eastAsia="x-none"/>
        </w:rPr>
        <w:t xml:space="preserve">From </w:t>
      </w:r>
      <w:r w:rsidR="00B51F24">
        <w:rPr>
          <w:rFonts w:eastAsia="SimSun" w:cs="Times New Roman"/>
          <w:lang w:eastAsia="x-none"/>
        </w:rPr>
        <w:t>Section 6.4 of TS38.214</w:t>
      </w:r>
      <w:r>
        <w:rPr>
          <w:rFonts w:eastAsia="SimSun" w:cs="Times New Roman"/>
          <w:lang w:eastAsia="x-none"/>
        </w:rPr>
        <w:t xml:space="preserve">, it can be seen that the BWP switch delay has already being captured as the </w:t>
      </w:r>
      <w:r w:rsidR="002E4289">
        <w:rPr>
          <w:rFonts w:eastAsia="SimSun" w:cs="Times New Roman"/>
          <w:lang w:eastAsia="x-none"/>
        </w:rPr>
        <w:t xml:space="preserve">BWP delay related </w:t>
      </w:r>
      <w:r>
        <w:rPr>
          <w:rFonts w:eastAsia="SimSun" w:cs="Times New Roman"/>
          <w:lang w:eastAsia="x-none"/>
        </w:rPr>
        <w:t xml:space="preserve">parameter </w:t>
      </w:r>
      <w:r w:rsidRPr="006C4A2D">
        <w:rPr>
          <w:rFonts w:ascii="Times New Roman" w:hAnsi="Times New Roman" w:cs="Times New Roman"/>
          <w:i/>
          <w:lang w:val="en-AU"/>
        </w:rPr>
        <w:t>d</w:t>
      </w:r>
      <w:r w:rsidRPr="006C4A2D">
        <w:rPr>
          <w:rFonts w:ascii="Times New Roman" w:hAnsi="Times New Roman" w:cs="Times New Roman"/>
          <w:i/>
          <w:vertAlign w:val="subscript"/>
          <w:lang w:val="en-AU"/>
        </w:rPr>
        <w:t>2,2</w:t>
      </w:r>
      <w:r>
        <w:rPr>
          <w:rFonts w:eastAsia="SimSun" w:cs="Times New Roman"/>
          <w:lang w:eastAsia="x-none"/>
        </w:rPr>
        <w:t xml:space="preserve"> in the equation of </w:t>
      </w:r>
      <w:r w:rsidRPr="006C4A2D">
        <w:rPr>
          <w:rFonts w:ascii="Times New Roman" w:eastAsia="SimSun" w:hAnsi="Times New Roman" w:cs="Times New Roman"/>
          <w:i/>
          <w:lang w:eastAsia="x-none"/>
        </w:rPr>
        <w:t>T</w:t>
      </w:r>
      <w:r w:rsidRPr="006C4A2D">
        <w:rPr>
          <w:rFonts w:ascii="Times New Roman" w:eastAsia="SimSun" w:hAnsi="Times New Roman" w:cs="Times New Roman"/>
          <w:i/>
          <w:vertAlign w:val="subscript"/>
          <w:lang w:eastAsia="x-none"/>
        </w:rPr>
        <w:t>proc,2</w:t>
      </w:r>
      <w:r>
        <w:rPr>
          <w:rFonts w:eastAsia="SimSun" w:cs="Times New Roman"/>
          <w:lang w:eastAsia="x-none"/>
        </w:rPr>
        <w:t xml:space="preserve">. And the value of </w:t>
      </w:r>
      <w:r w:rsidRPr="006C4A2D">
        <w:rPr>
          <w:rFonts w:ascii="Times New Roman" w:eastAsia="SimSun" w:hAnsi="Times New Roman" w:cs="Times New Roman"/>
          <w:i/>
          <w:lang w:eastAsia="x-none"/>
        </w:rPr>
        <w:t>T</w:t>
      </w:r>
      <w:r w:rsidRPr="006C4A2D">
        <w:rPr>
          <w:rFonts w:ascii="Times New Roman" w:eastAsia="SimSun" w:hAnsi="Times New Roman" w:cs="Times New Roman"/>
          <w:i/>
          <w:vertAlign w:val="subscript"/>
          <w:lang w:eastAsia="x-none"/>
        </w:rPr>
        <w:t>proc,2</w:t>
      </w:r>
      <w:r>
        <w:rPr>
          <w:rFonts w:eastAsia="SimSun" w:cs="Times New Roman"/>
          <w:lang w:eastAsia="x-none"/>
        </w:rPr>
        <w:t xml:space="preserve"> is always no smaller than </w:t>
      </w:r>
      <w:r w:rsidRPr="006C4A2D">
        <w:rPr>
          <w:rFonts w:ascii="Times New Roman" w:hAnsi="Times New Roman" w:cs="Times New Roman"/>
          <w:i/>
          <w:lang w:val="en-AU"/>
        </w:rPr>
        <w:t>d</w:t>
      </w:r>
      <w:r w:rsidRPr="006C4A2D">
        <w:rPr>
          <w:rFonts w:ascii="Times New Roman" w:hAnsi="Times New Roman" w:cs="Times New Roman"/>
          <w:i/>
          <w:vertAlign w:val="subscript"/>
          <w:lang w:val="en-AU"/>
        </w:rPr>
        <w:t>2,2</w:t>
      </w:r>
      <w:r>
        <w:rPr>
          <w:rFonts w:eastAsia="SimSun" w:cs="Times New Roman"/>
          <w:lang w:eastAsia="x-none"/>
        </w:rPr>
        <w:t xml:space="preserve">. However, it may not be that clear to see how the issue of TA was addressed </w:t>
      </w:r>
      <w:r w:rsidR="002E4289">
        <w:rPr>
          <w:rFonts w:eastAsia="SimSun" w:cs="Times New Roman"/>
          <w:lang w:eastAsia="x-none"/>
        </w:rPr>
        <w:t>through</w:t>
      </w:r>
      <w:r>
        <w:rPr>
          <w:rFonts w:eastAsia="SimSun" w:cs="Times New Roman"/>
          <w:lang w:eastAsia="x-none"/>
        </w:rPr>
        <w:t xml:space="preserve"> the equation.</w:t>
      </w:r>
      <w:r w:rsidR="00B51F24">
        <w:rPr>
          <w:rFonts w:eastAsia="SimSun" w:cs="Times New Roman"/>
          <w:lang w:eastAsia="x-none"/>
        </w:rPr>
        <w:t xml:space="preserve"> In our view, RAN4 can send an LS asking for clarification.</w:t>
      </w:r>
    </w:p>
    <w:p w:rsidR="00B51F24" w:rsidRPr="00B51F24" w:rsidRDefault="00B51F24" w:rsidP="00B51F24">
      <w:pPr>
        <w:pStyle w:val="a5"/>
        <w:jc w:val="both"/>
        <w:rPr>
          <w:lang w:val="en-US"/>
        </w:rPr>
      </w:pPr>
      <w:bookmarkStart w:id="9" w:name="_Ref528414881"/>
      <w:r>
        <w:t xml:space="preserve">Proposal </w:t>
      </w:r>
      <w:r w:rsidR="001512F6">
        <w:fldChar w:fldCharType="begin"/>
      </w:r>
      <w:r w:rsidR="001512F6">
        <w:instrText xml:space="preserve"> SEQ Proposal \* ARABIC </w:instrText>
      </w:r>
      <w:r w:rsidR="001512F6">
        <w:fldChar w:fldCharType="separate"/>
      </w:r>
      <w:r>
        <w:rPr>
          <w:noProof/>
        </w:rPr>
        <w:t>2</w:t>
      </w:r>
      <w:r w:rsidR="001512F6">
        <w:rPr>
          <w:noProof/>
        </w:rPr>
        <w:fldChar w:fldCharType="end"/>
      </w:r>
      <w:r>
        <w:rPr>
          <w:lang w:val="en-US"/>
        </w:rPr>
        <w:t xml:space="preserve">: RAN4 to discuss whether to send an LS to clarify how TA is addressed in the </w:t>
      </w:r>
      <w:r w:rsidRPr="0048482F">
        <w:rPr>
          <w:color w:val="000000"/>
        </w:rPr>
        <w:t xml:space="preserve">UE PUSCH preparation </w:t>
      </w:r>
      <w:r>
        <w:rPr>
          <w:color w:val="000000"/>
        </w:rPr>
        <w:t>procedure time.</w:t>
      </w:r>
      <w:bookmarkEnd w:id="9"/>
    </w:p>
    <w:p w:rsidR="006C4A2D" w:rsidRDefault="006C4A2D" w:rsidP="00ED6BF8">
      <w:pPr>
        <w:jc w:val="both"/>
        <w:rPr>
          <w:rFonts w:eastAsia="SimSun" w:cs="Times New Roman"/>
          <w:lang w:eastAsia="x-none"/>
        </w:rPr>
      </w:pPr>
    </w:p>
    <w:p w:rsidR="00085372" w:rsidRDefault="00800788"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delay </w:t>
      </w:r>
      <w:r w:rsidR="00F27932">
        <w:rPr>
          <w:rFonts w:ascii="Calibri" w:eastAsia="新細明體" w:hAnsi="Calibri" w:cs="Calibri"/>
          <w:color w:val="0D0D0D"/>
          <w:lang w:eastAsia="zh-TW"/>
        </w:rPr>
        <w:t>requirements</w:t>
      </w:r>
      <w:r w:rsidR="00F72752">
        <w:rPr>
          <w:rFonts w:ascii="Calibri" w:eastAsia="新細明體" w:hAnsi="Calibri" w:cs="Calibri"/>
          <w:color w:val="0D0D0D"/>
          <w:lang w:eastAsia="zh-TW"/>
        </w:rPr>
        <w:t>. We have the following proposals:</w:t>
      </w:r>
    </w:p>
    <w:p w:rsidR="00DD403D" w:rsidRDefault="00DD403D" w:rsidP="00DD403D">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_Ref528414886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Pr="00DD403D">
        <w:rPr>
          <w:rFonts w:ascii="Times New Roman" w:eastAsia="SimSun" w:hAnsi="Times New Roman" w:cs="Times New Roman"/>
          <w:b/>
          <w:sz w:val="20"/>
          <w:szCs w:val="20"/>
          <w:lang w:val="x-none" w:eastAsia="zh-TW"/>
        </w:rPr>
        <w:t>Observation 1: All UL grants provided through DCI should suffer the same problem that the TA reduces the UE processing time. The problem is not limited to UL BWP switch only.</w:t>
      </w:r>
      <w:r>
        <w:rPr>
          <w:rFonts w:ascii="Times New Roman" w:eastAsia="SimSun" w:hAnsi="Times New Roman" w:cs="Times New Roman"/>
          <w:b/>
          <w:sz w:val="20"/>
          <w:szCs w:val="20"/>
          <w:lang w:val="x-none" w:eastAsia="zh-TW"/>
        </w:rPr>
        <w:fldChar w:fldCharType="end"/>
      </w:r>
    </w:p>
    <w:p w:rsidR="00DD403D" w:rsidRDefault="00DD403D" w:rsidP="00CB5FB6">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_Ref528414877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Pr="00DD403D">
        <w:rPr>
          <w:rFonts w:ascii="Times New Roman" w:eastAsia="SimSun" w:hAnsi="Times New Roman" w:cs="Times New Roman"/>
          <w:b/>
          <w:sz w:val="20"/>
          <w:szCs w:val="20"/>
          <w:lang w:val="x-none" w:eastAsia="zh-TW"/>
        </w:rPr>
        <w:t>Proposal 1: The discussion of requirement for RRC-based BWP switch is postponed to RAN4#90 meeting.</w:t>
      </w:r>
      <w:r>
        <w:rPr>
          <w:rFonts w:ascii="Times New Roman" w:eastAsia="SimSun" w:hAnsi="Times New Roman" w:cs="Times New Roman"/>
          <w:b/>
          <w:sz w:val="20"/>
          <w:szCs w:val="20"/>
          <w:lang w:val="x-none" w:eastAsia="zh-TW"/>
        </w:rPr>
        <w:fldChar w:fldCharType="end"/>
      </w:r>
    </w:p>
    <w:p w:rsidR="00DD403D" w:rsidRDefault="00DD403D" w:rsidP="001C090E">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_Ref528414881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Pr="00DD403D">
        <w:rPr>
          <w:rFonts w:ascii="Times New Roman" w:eastAsia="SimSun" w:hAnsi="Times New Roman" w:cs="Times New Roman"/>
          <w:b/>
          <w:sz w:val="20"/>
          <w:szCs w:val="20"/>
          <w:lang w:val="x-none" w:eastAsia="zh-TW"/>
        </w:rPr>
        <w:t>Proposal 2: RAN4 to discuss w</w:t>
      </w:r>
      <w:bookmarkStart w:id="10" w:name="_GoBack"/>
      <w:bookmarkEnd w:id="10"/>
      <w:r w:rsidRPr="00DD403D">
        <w:rPr>
          <w:rFonts w:ascii="Times New Roman" w:eastAsia="SimSun" w:hAnsi="Times New Roman" w:cs="Times New Roman"/>
          <w:b/>
          <w:sz w:val="20"/>
          <w:szCs w:val="20"/>
          <w:lang w:val="x-none" w:eastAsia="zh-TW"/>
        </w:rPr>
        <w:t>hether to send an LS to clarify how TA is addressed in the UE PUSCH preparation procedure time.</w:t>
      </w:r>
      <w:r>
        <w:rPr>
          <w:rFonts w:ascii="Times New Roman" w:eastAsia="SimSun" w:hAnsi="Times New Roman" w:cs="Times New Roman"/>
          <w:b/>
          <w:sz w:val="20"/>
          <w:szCs w:val="20"/>
          <w:lang w:val="x-none" w:eastAsia="zh-TW"/>
        </w:rPr>
        <w:fldChar w:fldCharType="end"/>
      </w:r>
      <w:r>
        <w:rPr>
          <w:rFonts w:ascii="Times New Roman" w:eastAsia="SimSun" w:hAnsi="Times New Roman" w:cs="Times New Roman"/>
          <w:b/>
          <w:sz w:val="20"/>
          <w:szCs w:val="20"/>
          <w:lang w:val="x-none" w:eastAsia="zh-TW"/>
        </w:rPr>
        <w:t xml:space="preserve"> </w:t>
      </w:r>
    </w:p>
    <w:p w:rsidR="00AF7AA6" w:rsidRDefault="00800788"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4C6C43" w:rsidRDefault="007807F4"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613426" w:rsidRPr="00613426">
        <w:rPr>
          <w:rFonts w:ascii="Calibri" w:eastAsia="新細明體" w:hAnsi="Calibri" w:cs="Calibri"/>
          <w:color w:val="0D0D0D"/>
          <w:sz w:val="20"/>
          <w:lang w:eastAsia="zh-TW"/>
        </w:rPr>
        <w:t>R4-1812189</w:t>
      </w:r>
      <w:r w:rsidR="00613426">
        <w:rPr>
          <w:rFonts w:ascii="Calibri" w:eastAsia="新細明體" w:hAnsi="Calibri" w:cs="Calibri"/>
          <w:color w:val="0D0D0D"/>
          <w:sz w:val="20"/>
          <w:lang w:eastAsia="zh-TW"/>
        </w:rPr>
        <w:t>,</w:t>
      </w:r>
      <w:r w:rsidR="00613426" w:rsidRPr="00613426">
        <w:rPr>
          <w:rFonts w:ascii="Calibri" w:eastAsia="新細明體" w:hAnsi="Calibri" w:cs="Calibri"/>
          <w:color w:val="0D0D0D"/>
          <w:sz w:val="20"/>
          <w:lang w:eastAsia="zh-TW"/>
        </w:rPr>
        <w:tab/>
      </w:r>
      <w:r w:rsidR="00613426">
        <w:rPr>
          <w:rFonts w:ascii="Calibri" w:eastAsia="新細明體" w:hAnsi="Calibri" w:cs="Calibri"/>
          <w:color w:val="0D0D0D"/>
          <w:sz w:val="20"/>
          <w:lang w:eastAsia="zh-TW"/>
        </w:rPr>
        <w:t>“</w:t>
      </w:r>
      <w:r w:rsidR="00613426" w:rsidRPr="00613426">
        <w:rPr>
          <w:rFonts w:ascii="Calibri" w:eastAsia="新細明體" w:hAnsi="Calibri" w:cs="Calibri"/>
          <w:color w:val="0D0D0D"/>
          <w:sz w:val="20"/>
          <w:lang w:eastAsia="zh-TW"/>
        </w:rPr>
        <w:t>On remaining issues for BWP switching Delay</w:t>
      </w:r>
      <w:r w:rsidR="00613426">
        <w:rPr>
          <w:rFonts w:ascii="Calibri" w:eastAsia="新細明體" w:hAnsi="Calibri" w:cs="Calibri"/>
          <w:color w:val="0D0D0D"/>
          <w:sz w:val="20"/>
          <w:lang w:eastAsia="zh-TW"/>
        </w:rPr>
        <w:t xml:space="preserve">”, </w:t>
      </w:r>
      <w:r w:rsidR="00613426" w:rsidRPr="00613426">
        <w:rPr>
          <w:rFonts w:ascii="Calibri" w:eastAsia="新細明體" w:hAnsi="Calibri" w:cs="Calibri"/>
          <w:color w:val="0D0D0D"/>
          <w:sz w:val="20"/>
          <w:lang w:eastAsia="zh-TW"/>
        </w:rPr>
        <w:t>Intel Corporation</w:t>
      </w:r>
    </w:p>
    <w:p w:rsidR="006C4A2D" w:rsidRDefault="006C4A2D" w:rsidP="006C4A2D">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Appendix</w:t>
      </w:r>
    </w:p>
    <w:tbl>
      <w:tblPr>
        <w:tblStyle w:val="ad"/>
        <w:tblW w:w="0" w:type="auto"/>
        <w:tblLook w:val="04A0" w:firstRow="1" w:lastRow="0" w:firstColumn="1" w:lastColumn="0" w:noHBand="0" w:noVBand="1"/>
      </w:tblPr>
      <w:tblGrid>
        <w:gridCol w:w="9629"/>
      </w:tblGrid>
      <w:tr w:rsidR="006C4A2D" w:rsidRPr="006C4A2D" w:rsidTr="006C4A2D">
        <w:tc>
          <w:tcPr>
            <w:tcW w:w="9629" w:type="dxa"/>
          </w:tcPr>
          <w:p w:rsidR="006C4A2D" w:rsidRDefault="006C4A2D" w:rsidP="006C4A2D">
            <w:pPr>
              <w:pStyle w:val="2"/>
              <w:outlineLvl w:val="1"/>
              <w:rPr>
                <w:rFonts w:ascii="Times New Roman" w:hAnsi="Times New Roman" w:cs="Times New Roman"/>
                <w:color w:val="000000"/>
              </w:rPr>
            </w:pPr>
            <w:bookmarkStart w:id="11" w:name="_Toc525748131"/>
            <w:r w:rsidRPr="006C4A2D">
              <w:rPr>
                <w:rFonts w:ascii="Times New Roman" w:hAnsi="Times New Roman" w:cs="Times New Roman"/>
                <w:color w:val="000000"/>
              </w:rPr>
              <w:t>6.4</w:t>
            </w:r>
            <w:r w:rsidRPr="006C4A2D">
              <w:rPr>
                <w:rFonts w:ascii="Times New Roman" w:hAnsi="Times New Roman" w:cs="Times New Roman"/>
                <w:color w:val="000000"/>
              </w:rPr>
              <w:tab/>
              <w:t>UE PUSCH preparation procedure time</w:t>
            </w:r>
            <w:bookmarkEnd w:id="11"/>
          </w:p>
          <w:p w:rsidR="006C4A2D" w:rsidRPr="006C4A2D" w:rsidRDefault="006C4A2D" w:rsidP="006C4A2D"/>
          <w:p w:rsidR="006C4A2D" w:rsidRPr="006C4A2D" w:rsidRDefault="006C4A2D" w:rsidP="006C4A2D">
            <w:pPr>
              <w:rPr>
                <w:rFonts w:ascii="Times New Roman" w:hAnsi="Times New Roman" w:cs="Times New Roman"/>
                <w:color w:val="000000"/>
                <w:lang w:val="en-AU"/>
              </w:rPr>
            </w:pPr>
            <w:bookmarkStart w:id="12" w:name="_Hlk496825264"/>
            <w:bookmarkStart w:id="13" w:name="_Hlk496824447"/>
            <w:r w:rsidRPr="006C4A2D">
              <w:rPr>
                <w:rFonts w:ascii="Times New Roman" w:hAnsi="Times New Roman" w:cs="Times New Roman"/>
                <w:color w:val="000000"/>
              </w:rPr>
              <w:t>I</w:t>
            </w:r>
            <w:r w:rsidRPr="006C4A2D">
              <w:rPr>
                <w:rFonts w:ascii="Times New Roman" w:hAnsi="Times New Roman" w:cs="Times New Roman"/>
                <w:color w:val="000000"/>
                <w:lang w:val="en-AU"/>
              </w:rPr>
              <w:t xml:space="preserve">f the first uplink symbol in the PUSCH allocation for a transport block, including the DM-RS, as defined by the slot offset </w:t>
            </w:r>
            <w:r w:rsidRPr="006C4A2D">
              <w:rPr>
                <w:rFonts w:ascii="Times New Roman" w:hAnsi="Times New Roman" w:cs="Times New Roman"/>
                <w:i/>
                <w:color w:val="000000"/>
                <w:lang w:val="en-AU"/>
              </w:rPr>
              <w:t>K</w:t>
            </w:r>
            <w:r w:rsidRPr="006C4A2D">
              <w:rPr>
                <w:rFonts w:ascii="Times New Roman" w:hAnsi="Times New Roman" w:cs="Times New Roman"/>
                <w:i/>
                <w:color w:val="000000"/>
                <w:vertAlign w:val="subscript"/>
                <w:lang w:val="en-AU"/>
              </w:rPr>
              <w:t>2</w:t>
            </w:r>
            <w:r w:rsidRPr="006C4A2D">
              <w:rPr>
                <w:rFonts w:ascii="Times New Roman" w:hAnsi="Times New Roman" w:cs="Times New Roman"/>
                <w:color w:val="000000"/>
                <w:lang w:val="en-AU"/>
              </w:rPr>
              <w:t xml:space="preserve"> and the start and length indicator </w:t>
            </w:r>
            <w:r w:rsidRPr="006C4A2D">
              <w:rPr>
                <w:rFonts w:ascii="Times New Roman" w:hAnsi="Times New Roman" w:cs="Times New Roman"/>
                <w:i/>
                <w:color w:val="000000"/>
                <w:lang w:val="en-AU"/>
              </w:rPr>
              <w:t>SLIV</w:t>
            </w:r>
            <w:r w:rsidRPr="006C4A2D">
              <w:rPr>
                <w:rFonts w:ascii="Times New Roman" w:hAnsi="Times New Roman" w:cs="Times New Roman"/>
                <w:color w:val="000000"/>
                <w:lang w:val="en-AU"/>
              </w:rPr>
              <w:t xml:space="preserve"> of the scheduling DCI, is no earlier than at symbol </w:t>
            </w:r>
            <w:r w:rsidRPr="006C4A2D">
              <w:rPr>
                <w:rFonts w:ascii="Times New Roman" w:hAnsi="Times New Roman" w:cs="Times New Roman"/>
                <w:i/>
                <w:color w:val="000000"/>
                <w:lang w:val="en-AU"/>
              </w:rPr>
              <w:t>L</w:t>
            </w:r>
            <w:r w:rsidRPr="006C4A2D">
              <w:rPr>
                <w:rFonts w:ascii="Times New Roman" w:hAnsi="Times New Roman" w:cs="Times New Roman"/>
                <w:i/>
                <w:color w:val="000000"/>
                <w:vertAlign w:val="subscript"/>
                <w:lang w:val="en-AU"/>
              </w:rPr>
              <w:t>2</w:t>
            </w:r>
            <w:r w:rsidRPr="006C4A2D">
              <w:rPr>
                <w:rFonts w:ascii="Times New Roman" w:hAnsi="Times New Roman" w:cs="Times New Roman"/>
                <w:color w:val="000000"/>
                <w:lang w:val="en-AU"/>
              </w:rPr>
              <w:t xml:space="preserve">, where </w:t>
            </w:r>
            <w:bookmarkStart w:id="14" w:name="_Hlk496824026"/>
            <w:r w:rsidRPr="006C4A2D">
              <w:rPr>
                <w:rFonts w:ascii="Times New Roman" w:hAnsi="Times New Roman" w:cs="Times New Roman"/>
                <w:i/>
                <w:color w:val="000000"/>
                <w:lang w:val="en-AU"/>
              </w:rPr>
              <w:t>L</w:t>
            </w:r>
            <w:r w:rsidRPr="006C4A2D">
              <w:rPr>
                <w:rFonts w:ascii="Times New Roman" w:hAnsi="Times New Roman" w:cs="Times New Roman"/>
                <w:i/>
                <w:color w:val="000000"/>
                <w:vertAlign w:val="subscript"/>
                <w:lang w:val="en-AU"/>
              </w:rPr>
              <w:t>2</w:t>
            </w:r>
            <w:r w:rsidRPr="006C4A2D">
              <w:rPr>
                <w:rFonts w:ascii="Times New Roman" w:hAnsi="Times New Roman" w:cs="Times New Roman"/>
                <w:color w:val="000000"/>
                <w:lang w:val="en-AU"/>
              </w:rPr>
              <w:t xml:space="preserve"> is defined as the next uplink symbol with its CP starting </w:t>
            </w:r>
            <w:bookmarkEnd w:id="14"/>
            <w:r w:rsidRPr="006C4A2D">
              <w:rPr>
                <w:rFonts w:ascii="Times New Roman" w:hAnsi="Times New Roman" w:cs="Times New Roman"/>
                <w:color w:val="000000"/>
                <w:position w:val="-16"/>
              </w:rPr>
              <w:object w:dxaOrig="47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65pt;height:21.9pt" o:ole="">
                  <v:imagedata r:id="rId9" o:title=""/>
                </v:shape>
                <o:OLEObject Type="Embed" ProgID="Equation.DSMT4" ShapeID="_x0000_i1025" DrawAspect="Content" ObjectID="_1602683842" r:id="rId10"/>
              </w:object>
            </w:r>
            <w:r w:rsidRPr="006C4A2D">
              <w:rPr>
                <w:rFonts w:ascii="Times New Roman" w:hAnsi="Times New Roman" w:cs="Times New Roman"/>
                <w:color w:val="000000"/>
                <w:lang w:val="en-AU"/>
              </w:rPr>
              <w:t xml:space="preserve">after the end of the last symbol of the PDCCH carrying the DCI scheduling the PUSCH, then the UE shall transmit the transport block.  </w:t>
            </w:r>
          </w:p>
          <w:p w:rsidR="006C4A2D" w:rsidRPr="006C4A2D" w:rsidRDefault="006C4A2D" w:rsidP="006C4A2D">
            <w:pPr>
              <w:pStyle w:val="B1"/>
              <w:rPr>
                <w:lang w:val="en-AU"/>
              </w:rPr>
            </w:pPr>
            <w:r w:rsidRPr="006C4A2D">
              <w:rPr>
                <w:i/>
              </w:rPr>
              <w:t>-</w:t>
            </w:r>
            <w:r w:rsidRPr="006C4A2D">
              <w:rPr>
                <w:i/>
              </w:rPr>
              <w:tab/>
              <w:t>N</w:t>
            </w:r>
            <w:r w:rsidRPr="006C4A2D">
              <w:rPr>
                <w:i/>
                <w:vertAlign w:val="subscript"/>
              </w:rPr>
              <w:t>2</w:t>
            </w:r>
            <w:r w:rsidRPr="006C4A2D">
              <w:t xml:space="preserve"> </w:t>
            </w:r>
            <w:r w:rsidRPr="006C4A2D">
              <w:rPr>
                <w:lang w:val="en-AU"/>
              </w:rPr>
              <w:t xml:space="preserve">is based on </w:t>
            </w:r>
            <w:r w:rsidRPr="006C4A2D">
              <w:rPr>
                <w:i/>
                <w:lang w:val="en-AU"/>
              </w:rPr>
              <w:t>µ</w:t>
            </w:r>
            <w:r w:rsidRPr="006C4A2D">
              <w:rPr>
                <w:lang w:val="en-AU"/>
              </w:rPr>
              <w:t xml:space="preserve"> of Table 6.4-1 and Table 6.4-2 for UE processing capability 1 and 2 respectively, where </w:t>
            </w:r>
            <w:r w:rsidRPr="006C4A2D">
              <w:rPr>
                <w:i/>
                <w:lang w:val="en-AU"/>
              </w:rPr>
              <w:t>µ</w:t>
            </w:r>
            <w:r w:rsidRPr="006C4A2D">
              <w:rPr>
                <w:lang w:val="en-AU"/>
              </w:rPr>
              <w:t xml:space="preserve"> corresponds to the one of (</w:t>
            </w:r>
            <w:r w:rsidRPr="006C4A2D">
              <w:rPr>
                <w:i/>
                <w:lang w:val="en-AU"/>
              </w:rPr>
              <w:t>µ</w:t>
            </w:r>
            <w:r w:rsidRPr="006C4A2D">
              <w:rPr>
                <w:i/>
                <w:vertAlign w:val="subscript"/>
                <w:lang w:val="en-AU"/>
              </w:rPr>
              <w:t>DL</w:t>
            </w:r>
            <w:r w:rsidRPr="006C4A2D">
              <w:rPr>
                <w:lang w:val="en-AU"/>
              </w:rPr>
              <w:t xml:space="preserve">, </w:t>
            </w:r>
            <w:r w:rsidRPr="006C4A2D">
              <w:rPr>
                <w:i/>
                <w:lang w:val="en-AU"/>
              </w:rPr>
              <w:t>µ</w:t>
            </w:r>
            <w:r w:rsidRPr="006C4A2D">
              <w:rPr>
                <w:i/>
                <w:vertAlign w:val="subscript"/>
                <w:lang w:val="en-AU"/>
              </w:rPr>
              <w:t>UL</w:t>
            </w:r>
            <w:r w:rsidRPr="006C4A2D">
              <w:rPr>
                <w:lang w:val="en-AU"/>
              </w:rPr>
              <w:t xml:space="preserve">) resulting with the largest </w:t>
            </w:r>
            <w:r w:rsidRPr="006C4A2D">
              <w:rPr>
                <w:i/>
                <w:lang w:val="en-AU"/>
              </w:rPr>
              <w:t>T</w:t>
            </w:r>
            <w:r w:rsidRPr="006C4A2D">
              <w:rPr>
                <w:i/>
                <w:vertAlign w:val="subscript"/>
                <w:lang w:val="en-AU"/>
              </w:rPr>
              <w:t>proc,2</w:t>
            </w:r>
            <w:r w:rsidRPr="006C4A2D">
              <w:rPr>
                <w:lang w:val="en-AU"/>
              </w:rPr>
              <w:t xml:space="preserve">,  where the </w:t>
            </w:r>
            <w:r w:rsidRPr="006C4A2D">
              <w:rPr>
                <w:i/>
                <w:lang w:val="en-AU"/>
              </w:rPr>
              <w:t>µ</w:t>
            </w:r>
            <w:r w:rsidRPr="006C4A2D">
              <w:rPr>
                <w:i/>
                <w:vertAlign w:val="subscript"/>
                <w:lang w:val="en-AU"/>
              </w:rPr>
              <w:t>DL</w:t>
            </w:r>
            <w:r w:rsidRPr="006C4A2D">
              <w:rPr>
                <w:lang w:val="en-AU"/>
              </w:rPr>
              <w:t xml:space="preserve"> corresponds to the subcarrier spacing of the downlink with which the PDCCH carrying the DCI scheduling the PUSCH was transmitted and </w:t>
            </w:r>
            <w:r w:rsidRPr="006C4A2D">
              <w:rPr>
                <w:i/>
                <w:lang w:val="en-AU"/>
              </w:rPr>
              <w:t>µ</w:t>
            </w:r>
            <w:r w:rsidRPr="006C4A2D">
              <w:rPr>
                <w:i/>
                <w:vertAlign w:val="subscript"/>
                <w:lang w:val="en-AU"/>
              </w:rPr>
              <w:t>UL</w:t>
            </w:r>
            <w:r w:rsidRPr="006C4A2D">
              <w:rPr>
                <w:lang w:val="en-AU"/>
              </w:rPr>
              <w:t xml:space="preserve"> corresponds to the subcarrier spacing of the uplink channel with which the PUSCH is to be transmitted, and </w:t>
            </w:r>
            <w:r w:rsidRPr="006C4A2D">
              <w:rPr>
                <w:i/>
                <w:lang w:val="en-AU"/>
              </w:rPr>
              <w:t>κ</w:t>
            </w:r>
            <w:r w:rsidRPr="006C4A2D">
              <w:rPr>
                <w:lang w:val="en-AU"/>
              </w:rPr>
              <w:t xml:space="preserve"> is defined in subclause 4.1 of [4, TS 38.211].</w:t>
            </w:r>
          </w:p>
          <w:p w:rsidR="006C4A2D" w:rsidRPr="006C4A2D" w:rsidRDefault="006C4A2D" w:rsidP="006C4A2D">
            <w:pPr>
              <w:pStyle w:val="B1"/>
              <w:rPr>
                <w:lang w:val="en-AU"/>
              </w:rPr>
            </w:pPr>
            <w:r w:rsidRPr="006C4A2D">
              <w:rPr>
                <w:lang w:val="en-AU"/>
              </w:rPr>
              <w:t>-</w:t>
            </w:r>
            <w:r w:rsidRPr="006C4A2D">
              <w:rPr>
                <w:lang w:val="en-AU"/>
              </w:rPr>
              <w:tab/>
              <w:t xml:space="preserve">If the first symbol of the PUSCH allocation consists of DM-RS only, then </w:t>
            </w:r>
            <w:r w:rsidRPr="006C4A2D">
              <w:rPr>
                <w:i/>
                <w:lang w:val="en-AU"/>
              </w:rPr>
              <w:t>d</w:t>
            </w:r>
            <w:r w:rsidRPr="006C4A2D">
              <w:rPr>
                <w:i/>
                <w:vertAlign w:val="subscript"/>
                <w:lang w:val="en-AU"/>
              </w:rPr>
              <w:t xml:space="preserve">2,1 </w:t>
            </w:r>
            <w:r w:rsidRPr="006C4A2D">
              <w:rPr>
                <w:lang w:val="en-AU"/>
              </w:rPr>
              <w:t>= 0</w:t>
            </w:r>
            <w:r w:rsidRPr="006C4A2D">
              <w:rPr>
                <w:i/>
                <w:lang w:val="en-AU"/>
              </w:rPr>
              <w:t xml:space="preserve">, </w:t>
            </w:r>
            <w:r w:rsidRPr="006C4A2D">
              <w:rPr>
                <w:lang w:val="en-AU"/>
              </w:rPr>
              <w:t xml:space="preserve">otherwise </w:t>
            </w:r>
            <w:r w:rsidRPr="006C4A2D">
              <w:rPr>
                <w:i/>
                <w:lang w:val="en-AU"/>
              </w:rPr>
              <w:t>d</w:t>
            </w:r>
            <w:r w:rsidRPr="006C4A2D">
              <w:rPr>
                <w:i/>
                <w:vertAlign w:val="subscript"/>
                <w:lang w:val="en-AU"/>
              </w:rPr>
              <w:t xml:space="preserve">2,1 </w:t>
            </w:r>
            <w:r w:rsidRPr="006C4A2D">
              <w:rPr>
                <w:lang w:val="en-AU"/>
              </w:rPr>
              <w:t xml:space="preserve">= 1. </w:t>
            </w:r>
          </w:p>
          <w:p w:rsidR="006C4A2D" w:rsidRPr="006C4A2D" w:rsidRDefault="006C4A2D" w:rsidP="006C4A2D">
            <w:pPr>
              <w:pStyle w:val="B1"/>
              <w:rPr>
                <w:lang w:val="en-AU"/>
              </w:rPr>
            </w:pPr>
            <w:r w:rsidRPr="006C4A2D">
              <w:rPr>
                <w:lang w:val="en-AU"/>
              </w:rPr>
              <w:t>-</w:t>
            </w:r>
            <w:r w:rsidRPr="006C4A2D">
              <w:rPr>
                <w:lang w:val="en-AU"/>
              </w:rPr>
              <w:tab/>
              <w:t xml:space="preserve">If the UE is configured with multiple active component carriers, </w:t>
            </w:r>
            <w:r w:rsidRPr="006C4A2D">
              <w:rPr>
                <w:color w:val="000000"/>
                <w:lang w:val="en-AU"/>
              </w:rPr>
              <w:t>the first uplink symbol in the PUSCH allocation</w:t>
            </w:r>
            <w:r w:rsidRPr="006C4A2D">
              <w:rPr>
                <w:lang w:val="en-AU"/>
              </w:rPr>
              <w:t xml:space="preserve"> further includes the effect of timing difference between component carriers as given in [11, TS 38.133]. </w:t>
            </w:r>
          </w:p>
          <w:p w:rsidR="006C4A2D" w:rsidRPr="006C4A2D" w:rsidRDefault="006C4A2D" w:rsidP="006C4A2D">
            <w:pPr>
              <w:pStyle w:val="B1"/>
              <w:rPr>
                <w:lang w:val="en-AU"/>
              </w:rPr>
            </w:pPr>
            <w:r w:rsidRPr="006C4A2D">
              <w:rPr>
                <w:lang w:val="en-AU"/>
              </w:rPr>
              <w:t>-</w:t>
            </w:r>
            <w:r w:rsidRPr="006C4A2D">
              <w:rPr>
                <w:lang w:val="en-AU"/>
              </w:rPr>
              <w:tab/>
              <w:t xml:space="preserve">If the scheduling DCI triggered a switch of BWP, </w:t>
            </w:r>
            <w:r w:rsidRPr="006C4A2D">
              <w:rPr>
                <w:i/>
                <w:lang w:val="en-AU"/>
              </w:rPr>
              <w:t>d</w:t>
            </w:r>
            <w:r w:rsidRPr="006C4A2D">
              <w:rPr>
                <w:i/>
                <w:vertAlign w:val="subscript"/>
                <w:lang w:val="en-AU"/>
              </w:rPr>
              <w:t>2,2</w:t>
            </w:r>
            <w:r w:rsidRPr="006C4A2D">
              <w:rPr>
                <w:lang w:val="en-AU"/>
              </w:rPr>
              <w:t xml:space="preserve"> equals to the switching time as defined in [11, TS 38.133], otherwise </w:t>
            </w:r>
            <w:r w:rsidRPr="006C4A2D">
              <w:rPr>
                <w:i/>
                <w:lang w:val="en-AU"/>
              </w:rPr>
              <w:t>d</w:t>
            </w:r>
            <w:r w:rsidRPr="006C4A2D">
              <w:rPr>
                <w:i/>
                <w:vertAlign w:val="subscript"/>
                <w:lang w:val="en-AU"/>
              </w:rPr>
              <w:t>2,2</w:t>
            </w:r>
            <w:r w:rsidRPr="006C4A2D">
              <w:rPr>
                <w:lang w:val="en-AU"/>
              </w:rPr>
              <w:t xml:space="preserve">=0. </w:t>
            </w:r>
          </w:p>
          <w:p w:rsidR="006C4A2D" w:rsidRPr="006C4A2D" w:rsidRDefault="006C4A2D" w:rsidP="006C4A2D">
            <w:pPr>
              <w:pStyle w:val="B1"/>
              <w:rPr>
                <w:lang w:val="en-AU"/>
              </w:rPr>
            </w:pPr>
            <w:r w:rsidRPr="006C4A2D">
              <w:rPr>
                <w:lang w:val="en-AU"/>
              </w:rPr>
              <w:t>-</w:t>
            </w:r>
            <w:r w:rsidRPr="006C4A2D">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bookmarkEnd w:id="12"/>
          <w:p w:rsidR="006C4A2D" w:rsidRPr="006C4A2D" w:rsidRDefault="006C4A2D" w:rsidP="006C4A2D">
            <w:pPr>
              <w:rPr>
                <w:rFonts w:ascii="Times New Roman" w:hAnsi="Times New Roman" w:cs="Times New Roman"/>
                <w:color w:val="000000"/>
                <w:lang w:val="en-AU"/>
              </w:rPr>
            </w:pPr>
            <w:r w:rsidRPr="006C4A2D">
              <w:rPr>
                <w:rFonts w:ascii="Times New Roman" w:hAnsi="Times New Roman" w:cs="Times New Roman"/>
                <w:color w:val="000000"/>
                <w:lang w:val="en-AU"/>
              </w:rPr>
              <w:t xml:space="preserve">Otherwise the UE may ignore the scheduling DCI. </w:t>
            </w:r>
          </w:p>
          <w:p w:rsidR="006C4A2D" w:rsidRPr="006C4A2D" w:rsidRDefault="006C4A2D" w:rsidP="006C4A2D">
            <w:pPr>
              <w:rPr>
                <w:rFonts w:ascii="Times New Roman" w:hAnsi="Times New Roman" w:cs="Times New Roman"/>
                <w:color w:val="000000"/>
                <w:lang w:val="en-AU"/>
              </w:rPr>
            </w:pPr>
            <w:r w:rsidRPr="006C4A2D">
              <w:rPr>
                <w:rFonts w:ascii="Times New Roman" w:hAnsi="Times New Roman" w:cs="Times New Roman"/>
                <w:color w:val="000000"/>
                <w:lang w:val="en-AU"/>
              </w:rPr>
              <w:t xml:space="preserve">The value of </w:t>
            </w:r>
            <w:r w:rsidRPr="006C4A2D">
              <w:rPr>
                <w:rFonts w:ascii="Times New Roman" w:hAnsi="Times New Roman" w:cs="Times New Roman"/>
                <w:color w:val="000000"/>
                <w:position w:val="-14"/>
              </w:rPr>
              <w:object w:dxaOrig="560" w:dyaOrig="340">
                <v:shape id="_x0000_i1026" type="#_x0000_t75" style="width:28.95pt;height:17.65pt" o:ole="">
                  <v:imagedata r:id="rId11" o:title=""/>
                </v:shape>
                <o:OLEObject Type="Embed" ProgID="Equation.3" ShapeID="_x0000_i1026" DrawAspect="Content" ObjectID="_1602683843" r:id="rId12"/>
              </w:object>
            </w:r>
            <w:r w:rsidRPr="006C4A2D">
              <w:rPr>
                <w:rFonts w:ascii="Times New Roman" w:hAnsi="Times New Roman" w:cs="Times New Roman"/>
                <w:color w:val="000000"/>
              </w:rPr>
              <w:t xml:space="preserve"> </w:t>
            </w:r>
            <w:r w:rsidRPr="006C4A2D">
              <w:rPr>
                <w:rFonts w:ascii="Times New Roman" w:hAnsi="Times New Roman" w:cs="Times New Roman"/>
                <w:color w:val="000000"/>
                <w:lang w:val="en-AU"/>
              </w:rPr>
              <w:t>is used both in the case of normal and extended cyclic prefix.</w:t>
            </w:r>
          </w:p>
          <w:bookmarkEnd w:id="13"/>
          <w:p w:rsidR="006C4A2D" w:rsidRPr="006C4A2D" w:rsidRDefault="006C4A2D" w:rsidP="006C4A2D">
            <w:pPr>
              <w:pStyle w:val="TH"/>
              <w:rPr>
                <w:rFonts w:ascii="Times New Roman" w:hAnsi="Times New Roman"/>
                <w:i/>
                <w:color w:val="000000"/>
              </w:rPr>
            </w:pPr>
            <w:r w:rsidRPr="006C4A2D">
              <w:rPr>
                <w:rFonts w:ascii="Times New Roman" w:hAnsi="Times New Roman"/>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C4A2D" w:rsidRPr="006C4A2D" w:rsidTr="004C766A">
              <w:trPr>
                <w:jc w:val="center"/>
              </w:trPr>
              <w:tc>
                <w:tcPr>
                  <w:tcW w:w="828" w:type="dxa"/>
                  <w:shd w:val="clear" w:color="auto" w:fill="auto"/>
                  <w:vAlign w:val="center"/>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position w:val="-8"/>
                    </w:rPr>
                    <w:object w:dxaOrig="220" w:dyaOrig="220">
                      <v:shape id="_x0000_i1027" type="#_x0000_t75" style="width:11.3pt;height:11.3pt" o:ole="">
                        <v:imagedata r:id="rId13" o:title=""/>
                      </v:shape>
                      <o:OLEObject Type="Embed" ProgID="Equation.3" ShapeID="_x0000_i1027" DrawAspect="Content" ObjectID="_1602683844" r:id="rId14"/>
                    </w:object>
                  </w:r>
                </w:p>
              </w:tc>
              <w:tc>
                <w:tcPr>
                  <w:tcW w:w="4165" w:type="dxa"/>
                  <w:shd w:val="clear" w:color="auto" w:fill="auto"/>
                </w:tcPr>
                <w:p w:rsidR="006C4A2D" w:rsidRPr="006C4A2D" w:rsidRDefault="006C4A2D" w:rsidP="006C4A2D">
                  <w:pPr>
                    <w:pStyle w:val="TAH"/>
                    <w:rPr>
                      <w:rFonts w:ascii="Times New Roman" w:eastAsia="Batang" w:hAnsi="Times New Roman"/>
                      <w:color w:val="000000"/>
                      <w:lang w:val="en-GB"/>
                    </w:rPr>
                  </w:pPr>
                  <w:r w:rsidRPr="006C4A2D">
                    <w:rPr>
                      <w:rFonts w:ascii="Times New Roman" w:eastAsia="Batang" w:hAnsi="Times New Roman"/>
                      <w:color w:val="000000"/>
                      <w:lang w:val="en-GB"/>
                    </w:rPr>
                    <w:t xml:space="preserve">PUSCH preparation time </w:t>
                  </w:r>
                  <w:r w:rsidRPr="006C4A2D">
                    <w:rPr>
                      <w:rFonts w:ascii="Times New Roman" w:eastAsia="Batang" w:hAnsi="Times New Roman"/>
                      <w:i/>
                      <w:color w:val="000000"/>
                      <w:lang w:val="en-GB"/>
                    </w:rPr>
                    <w:t>N</w:t>
                  </w:r>
                  <w:r w:rsidRPr="006C4A2D">
                    <w:rPr>
                      <w:rFonts w:ascii="Times New Roman" w:eastAsia="Batang" w:hAnsi="Times New Roman"/>
                      <w:i/>
                      <w:color w:val="000000"/>
                      <w:vertAlign w:val="subscript"/>
                      <w:lang w:val="en-GB"/>
                    </w:rPr>
                    <w:t>2</w:t>
                  </w:r>
                  <w:r w:rsidRPr="006C4A2D">
                    <w:rPr>
                      <w:rFonts w:ascii="Times New Roman" w:eastAsia="Batang" w:hAnsi="Times New Roman"/>
                      <w:color w:val="000000"/>
                      <w:lang w:val="en-GB"/>
                    </w:rPr>
                    <w:t xml:space="preserve"> [symbols]</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0</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10</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12</w:t>
                  </w:r>
                </w:p>
              </w:tc>
            </w:tr>
            <w:tr w:rsidR="006C4A2D" w:rsidRPr="006C4A2D" w:rsidTr="004C766A">
              <w:trPr>
                <w:trHeight w:val="47"/>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2</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23</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3</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36</w:t>
                  </w:r>
                </w:p>
              </w:tc>
            </w:tr>
          </w:tbl>
          <w:p w:rsidR="006C4A2D" w:rsidRPr="006C4A2D" w:rsidRDefault="006C4A2D" w:rsidP="006C4A2D">
            <w:pPr>
              <w:rPr>
                <w:rFonts w:ascii="Times New Roman" w:hAnsi="Times New Roman" w:cs="Times New Roman"/>
                <w:color w:val="000000"/>
              </w:rPr>
            </w:pPr>
          </w:p>
          <w:p w:rsidR="006C4A2D" w:rsidRPr="006C4A2D" w:rsidRDefault="006C4A2D" w:rsidP="006C4A2D">
            <w:pPr>
              <w:pStyle w:val="TH"/>
              <w:rPr>
                <w:rFonts w:ascii="Times New Roman" w:hAnsi="Times New Roman"/>
                <w:i/>
                <w:color w:val="000000"/>
              </w:rPr>
            </w:pPr>
            <w:r w:rsidRPr="006C4A2D">
              <w:rPr>
                <w:rFonts w:ascii="Times New Roman" w:hAnsi="Times New Roman"/>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C4A2D" w:rsidRPr="006C4A2D" w:rsidTr="004C766A">
              <w:trPr>
                <w:jc w:val="center"/>
              </w:trPr>
              <w:tc>
                <w:tcPr>
                  <w:tcW w:w="828" w:type="dxa"/>
                  <w:shd w:val="clear" w:color="auto" w:fill="auto"/>
                  <w:vAlign w:val="center"/>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position w:val="-8"/>
                    </w:rPr>
                    <w:object w:dxaOrig="220" w:dyaOrig="220">
                      <v:shape id="_x0000_i1028" type="#_x0000_t75" style="width:14.1pt;height:14.1pt" o:ole="">
                        <v:imagedata r:id="rId13" o:title=""/>
                      </v:shape>
                      <o:OLEObject Type="Embed" ProgID="Equation.3" ShapeID="_x0000_i1028" DrawAspect="Content" ObjectID="_1602683845" r:id="rId15"/>
                    </w:object>
                  </w:r>
                </w:p>
              </w:tc>
              <w:tc>
                <w:tcPr>
                  <w:tcW w:w="4165" w:type="dxa"/>
                  <w:shd w:val="clear" w:color="auto" w:fill="auto"/>
                </w:tcPr>
                <w:p w:rsidR="006C4A2D" w:rsidRPr="006C4A2D" w:rsidRDefault="006C4A2D" w:rsidP="006C4A2D">
                  <w:pPr>
                    <w:pStyle w:val="TAH"/>
                    <w:rPr>
                      <w:rFonts w:ascii="Times New Roman" w:eastAsia="Batang" w:hAnsi="Times New Roman"/>
                      <w:color w:val="000000"/>
                      <w:lang w:val="en-GB"/>
                    </w:rPr>
                  </w:pPr>
                  <w:r w:rsidRPr="006C4A2D">
                    <w:rPr>
                      <w:rFonts w:ascii="Times New Roman" w:eastAsia="Batang" w:hAnsi="Times New Roman"/>
                      <w:color w:val="000000"/>
                      <w:lang w:val="en-GB"/>
                    </w:rPr>
                    <w:t xml:space="preserve">PUSCH preparation time </w:t>
                  </w:r>
                  <w:r w:rsidRPr="006C4A2D">
                    <w:rPr>
                      <w:rFonts w:ascii="Times New Roman" w:eastAsia="Batang" w:hAnsi="Times New Roman"/>
                      <w:i/>
                      <w:color w:val="000000"/>
                      <w:lang w:val="en-GB"/>
                    </w:rPr>
                    <w:t>N</w:t>
                  </w:r>
                  <w:r w:rsidRPr="006C4A2D">
                    <w:rPr>
                      <w:rFonts w:ascii="Times New Roman" w:eastAsia="Batang" w:hAnsi="Times New Roman"/>
                      <w:i/>
                      <w:color w:val="000000"/>
                      <w:vertAlign w:val="subscript"/>
                      <w:lang w:val="en-GB"/>
                    </w:rPr>
                    <w:t>2</w:t>
                  </w:r>
                  <w:r w:rsidRPr="006C4A2D">
                    <w:rPr>
                      <w:rFonts w:ascii="Times New Roman" w:eastAsia="Batang" w:hAnsi="Times New Roman"/>
                      <w:color w:val="000000"/>
                      <w:lang w:val="en-GB"/>
                    </w:rPr>
                    <w:t xml:space="preserve"> [symbols]</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0</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5</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5.5</w:t>
                  </w:r>
                </w:p>
              </w:tc>
            </w:tr>
            <w:tr w:rsidR="006C4A2D" w:rsidRPr="006C4A2D" w:rsidTr="004C766A">
              <w:trPr>
                <w:trHeight w:val="47"/>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2</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11 for frequency range 1</w:t>
                  </w:r>
                </w:p>
              </w:tc>
            </w:tr>
          </w:tbl>
          <w:p w:rsidR="006C4A2D" w:rsidRPr="006C4A2D" w:rsidRDefault="006C4A2D" w:rsidP="006C4A2D">
            <w:pPr>
              <w:rPr>
                <w:rFonts w:ascii="Times New Roman" w:hAnsi="Times New Roman" w:cs="Times New Roman"/>
                <w:lang w:val="en-GB" w:eastAsia="zh-TW"/>
              </w:rPr>
            </w:pPr>
          </w:p>
        </w:tc>
      </w:tr>
    </w:tbl>
    <w:p w:rsidR="006C4A2D" w:rsidRPr="006C4A2D" w:rsidRDefault="006C4A2D" w:rsidP="006C4A2D">
      <w:pPr>
        <w:rPr>
          <w:lang w:val="en-GB" w:eastAsia="zh-TW"/>
        </w:rPr>
      </w:pPr>
    </w:p>
    <w:p w:rsidR="006C4A2D" w:rsidRPr="00613426" w:rsidRDefault="006C4A2D" w:rsidP="00613426">
      <w:pPr>
        <w:jc w:val="both"/>
      </w:pPr>
    </w:p>
    <w:sectPr w:rsidR="006C4A2D" w:rsidRPr="0061342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2F6" w:rsidRDefault="001512F6" w:rsidP="008B46F2">
      <w:pPr>
        <w:spacing w:after="0" w:line="240" w:lineRule="auto"/>
      </w:pPr>
      <w:r>
        <w:separator/>
      </w:r>
    </w:p>
  </w:endnote>
  <w:endnote w:type="continuationSeparator" w:id="0">
    <w:p w:rsidR="001512F6" w:rsidRDefault="001512F6"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2F6" w:rsidRDefault="001512F6" w:rsidP="008B46F2">
      <w:pPr>
        <w:spacing w:after="0" w:line="240" w:lineRule="auto"/>
      </w:pPr>
      <w:r>
        <w:separator/>
      </w:r>
    </w:p>
  </w:footnote>
  <w:footnote w:type="continuationSeparator" w:id="0">
    <w:p w:rsidR="001512F6" w:rsidRDefault="001512F6"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0"/>
  </w:num>
  <w:num w:numId="4">
    <w:abstractNumId w:val="1"/>
  </w:num>
  <w:num w:numId="5">
    <w:abstractNumId w:val="20"/>
  </w:num>
  <w:num w:numId="6">
    <w:abstractNumId w:val="21"/>
  </w:num>
  <w:num w:numId="7">
    <w:abstractNumId w:val="14"/>
  </w:num>
  <w:num w:numId="8">
    <w:abstractNumId w:val="5"/>
  </w:num>
  <w:num w:numId="9">
    <w:abstractNumId w:val="6"/>
  </w:num>
  <w:num w:numId="10">
    <w:abstractNumId w:val="0"/>
  </w:num>
  <w:num w:numId="11">
    <w:abstractNumId w:val="13"/>
  </w:num>
  <w:num w:numId="12">
    <w:abstractNumId w:val="19"/>
  </w:num>
  <w:num w:numId="13">
    <w:abstractNumId w:val="7"/>
  </w:num>
  <w:num w:numId="14">
    <w:abstractNumId w:val="22"/>
  </w:num>
  <w:num w:numId="15">
    <w:abstractNumId w:val="12"/>
  </w:num>
  <w:num w:numId="16">
    <w:abstractNumId w:val="4"/>
  </w:num>
  <w:num w:numId="17">
    <w:abstractNumId w:val="16"/>
  </w:num>
  <w:num w:numId="18">
    <w:abstractNumId w:val="9"/>
  </w:num>
  <w:num w:numId="19">
    <w:abstractNumId w:val="18"/>
  </w:num>
  <w:num w:numId="20">
    <w:abstractNumId w:val="15"/>
  </w:num>
  <w:num w:numId="21">
    <w:abstractNumId w:val="11"/>
  </w:num>
  <w:num w:numId="22">
    <w:abstractNumId w:val="3"/>
  </w:num>
  <w:num w:numId="23">
    <w:abstractNumId w:val="8"/>
  </w:num>
  <w:num w:numId="2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25EAD"/>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12F6"/>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363A"/>
    <w:rsid w:val="001B579F"/>
    <w:rsid w:val="001C090E"/>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289"/>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7CB3"/>
    <w:rsid w:val="003225F1"/>
    <w:rsid w:val="00324B1E"/>
    <w:rsid w:val="0033075A"/>
    <w:rsid w:val="00331B27"/>
    <w:rsid w:val="00332B16"/>
    <w:rsid w:val="00337EC4"/>
    <w:rsid w:val="00342262"/>
    <w:rsid w:val="0034272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F0E9A"/>
    <w:rsid w:val="003F4C52"/>
    <w:rsid w:val="003F69F7"/>
    <w:rsid w:val="00403ED0"/>
    <w:rsid w:val="00404714"/>
    <w:rsid w:val="00405966"/>
    <w:rsid w:val="004149C3"/>
    <w:rsid w:val="00416D77"/>
    <w:rsid w:val="00421D97"/>
    <w:rsid w:val="00421F6B"/>
    <w:rsid w:val="0042222E"/>
    <w:rsid w:val="00422B53"/>
    <w:rsid w:val="00426796"/>
    <w:rsid w:val="00427CC1"/>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A5BF0"/>
    <w:rsid w:val="004A601B"/>
    <w:rsid w:val="004A6A31"/>
    <w:rsid w:val="004A7E06"/>
    <w:rsid w:val="004B2BFE"/>
    <w:rsid w:val="004B3278"/>
    <w:rsid w:val="004C0E5F"/>
    <w:rsid w:val="004C1E3A"/>
    <w:rsid w:val="004C40CC"/>
    <w:rsid w:val="004C5A8D"/>
    <w:rsid w:val="004C64BD"/>
    <w:rsid w:val="004C6C43"/>
    <w:rsid w:val="004D04F9"/>
    <w:rsid w:val="004D05EF"/>
    <w:rsid w:val="004D4753"/>
    <w:rsid w:val="004E09E4"/>
    <w:rsid w:val="004E3927"/>
    <w:rsid w:val="004E4887"/>
    <w:rsid w:val="004E4955"/>
    <w:rsid w:val="004F3668"/>
    <w:rsid w:val="004F4208"/>
    <w:rsid w:val="004F497A"/>
    <w:rsid w:val="004F4ECE"/>
    <w:rsid w:val="004F77A6"/>
    <w:rsid w:val="00502D59"/>
    <w:rsid w:val="00503AD1"/>
    <w:rsid w:val="00505955"/>
    <w:rsid w:val="005059EE"/>
    <w:rsid w:val="00506AD8"/>
    <w:rsid w:val="005109F5"/>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178"/>
    <w:rsid w:val="00593B3B"/>
    <w:rsid w:val="005A0D71"/>
    <w:rsid w:val="005A15EA"/>
    <w:rsid w:val="005B1303"/>
    <w:rsid w:val="005B1696"/>
    <w:rsid w:val="005B20E8"/>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1FCD"/>
    <w:rsid w:val="00613426"/>
    <w:rsid w:val="00614909"/>
    <w:rsid w:val="00614A7D"/>
    <w:rsid w:val="00615773"/>
    <w:rsid w:val="00616A16"/>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7556"/>
    <w:rsid w:val="006B76E4"/>
    <w:rsid w:val="006C02D2"/>
    <w:rsid w:val="006C0A64"/>
    <w:rsid w:val="006C4A2D"/>
    <w:rsid w:val="006D20C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2F64"/>
    <w:rsid w:val="007E5F83"/>
    <w:rsid w:val="007E6279"/>
    <w:rsid w:val="007E6901"/>
    <w:rsid w:val="007E767B"/>
    <w:rsid w:val="007E7F43"/>
    <w:rsid w:val="007F5938"/>
    <w:rsid w:val="00800788"/>
    <w:rsid w:val="0080175B"/>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63843"/>
    <w:rsid w:val="00864158"/>
    <w:rsid w:val="00864F8E"/>
    <w:rsid w:val="00865E0A"/>
    <w:rsid w:val="0087195F"/>
    <w:rsid w:val="00873DE4"/>
    <w:rsid w:val="008766EC"/>
    <w:rsid w:val="00880EA6"/>
    <w:rsid w:val="00885174"/>
    <w:rsid w:val="0089738D"/>
    <w:rsid w:val="008A1824"/>
    <w:rsid w:val="008A4FC6"/>
    <w:rsid w:val="008A55AB"/>
    <w:rsid w:val="008B358F"/>
    <w:rsid w:val="008B46F2"/>
    <w:rsid w:val="008B6D18"/>
    <w:rsid w:val="008B6FAF"/>
    <w:rsid w:val="008C0DCB"/>
    <w:rsid w:val="008C1AB9"/>
    <w:rsid w:val="008C77BE"/>
    <w:rsid w:val="008D096D"/>
    <w:rsid w:val="008D15E8"/>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523B"/>
    <w:rsid w:val="00906066"/>
    <w:rsid w:val="00910BBC"/>
    <w:rsid w:val="009139BF"/>
    <w:rsid w:val="009166AC"/>
    <w:rsid w:val="0091725A"/>
    <w:rsid w:val="00922EF9"/>
    <w:rsid w:val="0092372D"/>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CBD"/>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7352"/>
    <w:rsid w:val="00A37F9F"/>
    <w:rsid w:val="00A40DA0"/>
    <w:rsid w:val="00A447ED"/>
    <w:rsid w:val="00A44DFE"/>
    <w:rsid w:val="00A45F14"/>
    <w:rsid w:val="00A47474"/>
    <w:rsid w:val="00A501B7"/>
    <w:rsid w:val="00A52F2C"/>
    <w:rsid w:val="00A563D2"/>
    <w:rsid w:val="00A5653E"/>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09B6"/>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14B1"/>
    <w:rsid w:val="00C772C1"/>
    <w:rsid w:val="00C8046B"/>
    <w:rsid w:val="00C82393"/>
    <w:rsid w:val="00C827AD"/>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1787"/>
    <w:rsid w:val="00D52DD6"/>
    <w:rsid w:val="00D53BD4"/>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1139"/>
    <w:rsid w:val="00DF16F2"/>
    <w:rsid w:val="00DF39E2"/>
    <w:rsid w:val="00DF639F"/>
    <w:rsid w:val="00E00046"/>
    <w:rsid w:val="00E00789"/>
    <w:rsid w:val="00E01360"/>
    <w:rsid w:val="00E055C3"/>
    <w:rsid w:val="00E10336"/>
    <w:rsid w:val="00E1073D"/>
    <w:rsid w:val="00E1201C"/>
    <w:rsid w:val="00E142D2"/>
    <w:rsid w:val="00E17455"/>
    <w:rsid w:val="00E22059"/>
    <w:rsid w:val="00E222DB"/>
    <w:rsid w:val="00E23F4C"/>
    <w:rsid w:val="00E258E8"/>
    <w:rsid w:val="00E263CC"/>
    <w:rsid w:val="00E2710F"/>
    <w:rsid w:val="00E305AE"/>
    <w:rsid w:val="00E3639D"/>
    <w:rsid w:val="00E37D66"/>
    <w:rsid w:val="00E40BCE"/>
    <w:rsid w:val="00E43EA4"/>
    <w:rsid w:val="00E45E17"/>
    <w:rsid w:val="00E45EFE"/>
    <w:rsid w:val="00E509E4"/>
    <w:rsid w:val="00E51351"/>
    <w:rsid w:val="00E5381F"/>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2EC6"/>
    <w:rsid w:val="00F03B91"/>
    <w:rsid w:val="00F0523E"/>
    <w:rsid w:val="00F055F9"/>
    <w:rsid w:val="00F0588F"/>
    <w:rsid w:val="00F05AF8"/>
    <w:rsid w:val="00F06B51"/>
    <w:rsid w:val="00F06D85"/>
    <w:rsid w:val="00F203CD"/>
    <w:rsid w:val="00F247B0"/>
    <w:rsid w:val="00F24C7F"/>
    <w:rsid w:val="00F25FD4"/>
    <w:rsid w:val="00F26B5C"/>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CDF1-CB73-4427-BAED-F01D27187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Ato-MediaTek2</cp:lastModifiedBy>
  <cp:revision>287</cp:revision>
  <dcterms:created xsi:type="dcterms:W3CDTF">2018-01-15T06:05:00Z</dcterms:created>
  <dcterms:modified xsi:type="dcterms:W3CDTF">2018-11-02T09:11:00Z</dcterms:modified>
</cp:coreProperties>
</file>